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jc w:val="center"/>
      </w:pPr>
      <w:r>
        <w:rPr>
          <w:b/>
          <w:bCs/>
          <w:sz w:val="36"/>
          <w:szCs w:val="36"/>
        </w:rPr>
        <w:t xml:space="preserve">Abi Shogbonyo</w:t>
      </w:r>
    </w:p>
    <w:p>
      <w:pPr>
        <w:spacing w:after="60"/>
        <w:jc w:val="center"/>
      </w:pPr>
      <w:r>
        <w:rPr>
          <w:b/>
          <w:bCs/>
          <w:color w:val="1F3864"/>
          <w:sz w:val="22"/>
          <w:szCs w:val="22"/>
        </w:rPr>
        <w:t xml:space="preserve">Senior ServiceNow Developer</w:t>
      </w:r>
    </w:p>
    <w:p>
      <w:pPr>
        <w:spacing w:after="80"/>
        <w:jc w:val="center"/>
      </w:pPr>
      <w:r>
        <w:rPr>
          <w:sz w:val="18"/>
          <w:szCs w:val="18"/>
        </w:rPr>
        <w:t xml:space="preserve">United Kingdom  |  Right to Work: British Passport  |  Availability: Immediate  |  07404 699415  |  abi@shogbonyo.com</w:t>
      </w:r>
    </w:p>
    <w:p>
      <w:pPr>
        <w:pBdr>
          <w:bottom w:val="single" w:color="1F3864" w:sz="6" w:space="2"/>
        </w:pBdr>
        <w:spacing w:after="50" w:before="110"/>
      </w:pPr>
      <w:r>
        <w:rPr>
          <w:b/>
          <w:bCs/>
          <w:color w:val="1F3864"/>
          <w:sz w:val="22"/>
          <w:szCs w:val="22"/>
        </w:rPr>
        <w:t xml:space="preserve">Professional Profile</w:t>
      </w:r>
    </w:p>
    <w:p>
      <w:pPr>
        <w:spacing w:after="50"/>
      </w:pPr>
      <w:r>
        <w:rPr>
          <w:sz w:val="18"/>
          <w:szCs w:val="18"/>
        </w:rPr>
        <w:t xml:space="preserve">Senior ServiceNow Developer and Implementation Consultant with over 5 years' experience delivering enterprise ServiceNow solutions across ITSM, ITOM, ITAM and SAM Pro, with additional HRSD, workflow automation and AI-enabled service delivery exposure. Delivers end-to-end integration design and build as a core strength: REST and SOAP APIs, IntegrationHub spokes and OOTB Flow Designer integrations, MID Server-based ingestion pipelines, Import Sets and Transform Maps, and scripted REST APIs, spanning Microsoft 365/Entra ID, SCCM, Intune and JAMF discovery sources, Workday HR data feeds and AI-enabled service workflows.</w:t>
      </w:r>
    </w:p>
    <w:p>
      <w:pPr>
        <w:spacing w:after="50"/>
      </w:pPr>
      <w:r>
        <w:rPr>
          <w:sz w:val="18"/>
          <w:szCs w:val="18"/>
        </w:rPr>
        <w:t xml:space="preserve">Experienced in CSDM-aligned service architecture, CMDB governance, Discovery and Service Mapping, alongside HR service delivery concepts including HR case management, employee workflows and employee/organisational data processes.</w:t>
      </w:r>
    </w:p>
    <w:p>
      <w:pPr>
        <w:spacing w:after="50"/>
      </w:pPr>
      <w:r>
        <w:rPr>
          <w:sz w:val="18"/>
          <w:szCs w:val="18"/>
        </w:rPr>
        <w:t xml:space="preserve">Delivered change initiatives across government, financial services and regulated environments, combining technical delivery with requirements elicitation, stakeholder collaboration, design contribution, governance and release support.</w:t>
      </w:r>
    </w:p>
    <w:p>
      <w:pPr>
        <w:pBdr>
          <w:bottom w:val="single" w:color="1F3864" w:sz="6" w:space="2"/>
        </w:pBdr>
        <w:spacing w:after="50" w:before="110"/>
      </w:pPr>
      <w:r>
        <w:rPr>
          <w:b/>
          <w:bCs/>
          <w:color w:val="1F3864"/>
          <w:sz w:val="22"/>
          <w:szCs w:val="22"/>
        </w:rPr>
        <w:t xml:space="preserve">Core ServiceNow Capabilities</w:t>
      </w:r>
    </w:p>
    <w:p>
      <w:pPr>
        <w:spacing w:after="40" w:before="100"/>
      </w:pPr>
      <w:r>
        <w:rPr>
          <w:b/>
          <w:bCs/>
          <w:color w:val="2E5496"/>
          <w:sz w:val="20"/>
          <w:szCs w:val="20"/>
        </w:rPr>
        <w:t xml:space="preserve">Development &amp; Automation</w:t>
      </w:r>
    </w:p>
    <w:p>
      <w:pPr>
        <w:pStyle w:val="ListParagraph"/>
        <w:numPr>
          <w:ilvl w:val="0"/>
          <w:numId w:val="2"/>
        </w:numPr>
        <w:spacing w:after="20"/>
      </w:pPr>
      <w:r>
        <w:rPr>
          <w:sz w:val="18"/>
          <w:szCs w:val="18"/>
        </w:rPr>
        <w:t xml:space="preserve">Business Rules, Client Scripts, Script Includes; Glide API, JavaScript, UI Policies</w:t>
      </w:r>
    </w:p>
    <w:p>
      <w:pPr>
        <w:pStyle w:val="ListParagraph"/>
        <w:numPr>
          <w:ilvl w:val="0"/>
          <w:numId w:val="2"/>
        </w:numPr>
        <w:spacing w:after="20"/>
      </w:pPr>
      <w:r>
        <w:rPr>
          <w:sz w:val="18"/>
          <w:szCs w:val="18"/>
        </w:rPr>
        <w:t xml:space="preserve">Flow Designer &amp; Workflow automation</w:t>
      </w:r>
    </w:p>
    <w:p>
      <w:pPr>
        <w:pStyle w:val="ListParagraph"/>
        <w:numPr>
          <w:ilvl w:val="0"/>
          <w:numId w:val="2"/>
        </w:numPr>
        <w:spacing w:after="20"/>
      </w:pPr>
      <w:r>
        <w:rPr>
          <w:sz w:val="18"/>
          <w:szCs w:val="18"/>
        </w:rPr>
        <w:t xml:space="preserve">Service Portal development (custom widgets, catalogue UX)</w:t>
      </w:r>
    </w:p>
    <w:p>
      <w:pPr>
        <w:pStyle w:val="ListParagraph"/>
        <w:numPr>
          <w:ilvl w:val="0"/>
          <w:numId w:val="2"/>
        </w:numPr>
        <w:spacing w:after="20"/>
      </w:pPr>
      <w:r>
        <w:rPr>
          <w:sz w:val="18"/>
          <w:szCs w:val="18"/>
        </w:rPr>
        <w:t xml:space="preserve">Scripted REST APIs, scoped applications</w:t>
      </w:r>
    </w:p>
    <w:p>
      <w:pPr>
        <w:pStyle w:val="ListParagraph"/>
        <w:numPr>
          <w:ilvl w:val="0"/>
          <w:numId w:val="2"/>
        </w:numPr>
        <w:spacing w:after="20"/>
      </w:pPr>
      <w:r>
        <w:rPr>
          <w:sz w:val="18"/>
          <w:szCs w:val="18"/>
        </w:rPr>
        <w:t xml:space="preserve">Update Sets, release management, UAT support</w:t>
      </w:r>
    </w:p>
    <w:p>
      <w:pPr>
        <w:spacing w:after="40" w:before="100"/>
      </w:pPr>
      <w:r>
        <w:rPr>
          <w:b/>
          <w:bCs/>
          <w:color w:val="2E5496"/>
          <w:sz w:val="20"/>
          <w:szCs w:val="20"/>
        </w:rPr>
        <w:t xml:space="preserve">Platform Modules</w:t>
      </w:r>
    </w:p>
    <w:p>
      <w:pPr>
        <w:pStyle w:val="ListParagraph"/>
        <w:numPr>
          <w:ilvl w:val="0"/>
          <w:numId w:val="2"/>
        </w:numPr>
        <w:spacing w:after="20"/>
      </w:pPr>
      <w:r>
        <w:rPr>
          <w:sz w:val="18"/>
          <w:szCs w:val="18"/>
        </w:rPr>
        <w:t xml:space="preserve">ITSM (Incident, Problem, Change, Request, Knowledge)</w:t>
      </w:r>
    </w:p>
    <w:p>
      <w:pPr>
        <w:pStyle w:val="ListParagraph"/>
        <w:numPr>
          <w:ilvl w:val="0"/>
          <w:numId w:val="2"/>
        </w:numPr>
        <w:spacing w:after="20"/>
      </w:pPr>
      <w:r>
        <w:rPr>
          <w:sz w:val="18"/>
          <w:szCs w:val="18"/>
        </w:rPr>
        <w:t xml:space="preserve">ITOM Discovery &amp; Service Mapping</w:t>
      </w:r>
    </w:p>
    <w:p>
      <w:pPr>
        <w:pStyle w:val="ListParagraph"/>
        <w:numPr>
          <w:ilvl w:val="0"/>
          <w:numId w:val="2"/>
        </w:numPr>
        <w:spacing w:after="20"/>
      </w:pPr>
      <w:r>
        <w:rPr>
          <w:sz w:val="18"/>
          <w:szCs w:val="18"/>
        </w:rPr>
        <w:t xml:space="preserve">ITAM &amp; SAM Pro (Compliance, Reconciliation, Reclamation)</w:t>
      </w:r>
    </w:p>
    <w:p>
      <w:pPr>
        <w:pStyle w:val="ListParagraph"/>
        <w:numPr>
          <w:ilvl w:val="0"/>
          <w:numId w:val="2"/>
        </w:numPr>
        <w:spacing w:after="20"/>
      </w:pPr>
      <w:r>
        <w:rPr>
          <w:sz w:val="18"/>
          <w:szCs w:val="18"/>
        </w:rPr>
        <w:t xml:space="preserve">HRSD (HR Case Management, Employee Service Delivery, Employee Workflows, Employee Self-Service)</w:t>
      </w:r>
    </w:p>
    <w:p>
      <w:pPr>
        <w:pStyle w:val="ListParagraph"/>
        <w:numPr>
          <w:ilvl w:val="0"/>
          <w:numId w:val="2"/>
        </w:numPr>
        <w:spacing w:after="20"/>
      </w:pPr>
      <w:r>
        <w:rPr>
          <w:sz w:val="18"/>
          <w:szCs w:val="18"/>
        </w:rPr>
        <w:t xml:space="preserve">Platform health checks and performance optimisation</w:t>
      </w:r>
    </w:p>
    <w:p>
      <w:pPr>
        <w:pStyle w:val="ListParagraph"/>
        <w:numPr>
          <w:ilvl w:val="0"/>
          <w:numId w:val="2"/>
        </w:numPr>
        <w:spacing w:after="20"/>
      </w:pPr>
      <w:r>
        <w:rPr>
          <w:sz w:val="18"/>
          <w:szCs w:val="18"/>
        </w:rPr>
        <w:t xml:space="preserve">ServiceNow AI &amp; Now Assist (Now Assist configuration and implementation support; AI-enabled HRSD/ITSM; AI-assisted case summarisation and response generation; Flow Designer integration; AI feature testing, validation and governance)</w:t>
      </w:r>
    </w:p>
    <w:p>
      <w:pPr>
        <w:spacing w:after="40" w:before="100"/>
      </w:pPr>
      <w:r>
        <w:rPr>
          <w:b/>
          <w:bCs/>
          <w:color w:val="2E5496"/>
          <w:sz w:val="20"/>
          <w:szCs w:val="20"/>
        </w:rPr>
        <w:t xml:space="preserve">Integrations</w:t>
      </w:r>
    </w:p>
    <w:p>
      <w:pPr>
        <w:pStyle w:val="ListParagraph"/>
        <w:numPr>
          <w:ilvl w:val="0"/>
          <w:numId w:val="2"/>
        </w:numPr>
        <w:spacing w:after="20"/>
      </w:pPr>
      <w:r>
        <w:rPr>
          <w:sz w:val="18"/>
          <w:szCs w:val="18"/>
        </w:rPr>
        <w:t xml:space="preserve">IntegrationHub spokes &amp; OOTB Flow Designer integrations: Microsoft Teams adaptive card approvals from Service Catalog, Entra ID user provisioning within HRSD Lifecycle Events activity sets, Service Catalog ordering spokes, and scheduled cloud enforcement flows (AWS/Azure), connected through connection &amp; credential aliases</w:t>
      </w:r>
    </w:p>
    <w:p>
      <w:pPr>
        <w:pStyle w:val="ListParagraph"/>
        <w:numPr>
          <w:ilvl w:val="0"/>
          <w:numId w:val="2"/>
        </w:numPr>
        <w:spacing w:after="20"/>
      </w:pPr>
      <w:r>
        <w:rPr>
          <w:sz w:val="18"/>
          <w:szCs w:val="18"/>
        </w:rPr>
        <w:t xml:space="preserve">REST &amp; SOAP APIs: outbound REST Messages with OAuth 2.0 credentials, token handling and structured error handling; scripted REST APIs and inbound webhooks with shared-secret token validation</w:t>
      </w:r>
    </w:p>
    <w:p>
      <w:pPr>
        <w:pStyle w:val="ListParagraph"/>
        <w:numPr>
          <w:ilvl w:val="0"/>
          <w:numId w:val="2"/>
        </w:numPr>
        <w:spacing w:after="20"/>
      </w:pPr>
      <w:r>
        <w:rPr>
          <w:sz w:val="18"/>
          <w:szCs w:val="18"/>
        </w:rPr>
        <w:t xml:space="preserve">SCCM, Intune and JAMF discovery-source integrations: Service Graph Connectors and MID Server-based ingestion into CMDB and SAM Pro, with Identification &amp; Reconciliation Engine (IRE) data precedence and software normalisation feeding licence reconciliation and compliance calculations</w:t>
      </w:r>
    </w:p>
    <w:p>
      <w:pPr>
        <w:pStyle w:val="ListParagraph"/>
        <w:numPr>
          <w:ilvl w:val="0"/>
          <w:numId w:val="2"/>
        </w:numPr>
        <w:spacing w:after="20"/>
      </w:pPr>
      <w:r>
        <w:rPr>
          <w:sz w:val="18"/>
          <w:szCs w:val="18"/>
        </w:rPr>
        <w:t xml:space="preserve">Azure AD / Entra ID / ManageEngine user and group synchronisation: scheduled Import Set + Transform Map feeds against the Microsoft Graph API using OAuth 2.0 client credentials, coalescing on UPN for idempotent updates, with group membership driving role assignment and approvals</w:t>
      </w:r>
    </w:p>
    <w:p>
      <w:pPr>
        <w:pStyle w:val="ListParagraph"/>
        <w:numPr>
          <w:ilvl w:val="0"/>
          <w:numId w:val="2"/>
        </w:numPr>
        <w:spacing w:after="20"/>
      </w:pPr>
      <w:r>
        <w:rPr>
          <w:sz w:val="18"/>
          <w:szCs w:val="18"/>
        </w:rPr>
        <w:t xml:space="preserve">Workday-related HR data integration: scheduled RaaS/REST employee and organisational data feeds into HR Profiles and sys_user, including transform and coalescing strategy and downstream lifecycle triggers (integration support)</w:t>
      </w:r>
    </w:p>
    <w:p>
      <w:pPr>
        <w:pStyle w:val="ListParagraph"/>
        <w:numPr>
          <w:ilvl w:val="0"/>
          <w:numId w:val="2"/>
        </w:numPr>
        <w:spacing w:after="20"/>
      </w:pPr>
      <w:r>
        <w:rPr>
          <w:sz w:val="18"/>
          <w:szCs w:val="18"/>
        </w:rPr>
        <w:t xml:space="preserve">MID Server architecture and data ingestion pipelines: import sets, transform maps, robust coalescing and error handling for reliable multi-source ingestion</w:t>
      </w:r>
    </w:p>
    <w:p>
      <w:pPr>
        <w:pStyle w:val="ListParagraph"/>
        <w:numPr>
          <w:ilvl w:val="0"/>
          <w:numId w:val="2"/>
        </w:numPr>
        <w:spacing w:after="20"/>
      </w:pPr>
      <w:r>
        <w:rPr>
          <w:sz w:val="18"/>
          <w:szCs w:val="18"/>
        </w:rPr>
        <w:t xml:space="preserve">Event Management ingestion patterns: inbound Events API (POST /api/now/v1/em/insert) integrations with event correlation rules, alert deduplication, CI binding to business/application services and auto-incident creation</w:t>
      </w:r>
    </w:p>
    <w:p>
      <w:pPr>
        <w:pStyle w:val="ListParagraph"/>
        <w:numPr>
          <w:ilvl w:val="0"/>
          <w:numId w:val="2"/>
        </w:numPr>
        <w:spacing w:after="20"/>
      </w:pPr>
      <w:r>
        <w:rPr>
          <w:sz w:val="18"/>
          <w:szCs w:val="18"/>
        </w:rPr>
        <w:t xml:space="preserve">Two-way ticketing sync patterns: outbound REST via Flow Designer, scripted REST inbound webhooks, state mapping tables, idempotency checks and reconciliation polling fallback</w:t>
      </w:r>
    </w:p>
    <w:p>
      <w:pPr>
        <w:pStyle w:val="ListParagraph"/>
        <w:numPr>
          <w:ilvl w:val="0"/>
          <w:numId w:val="2"/>
        </w:numPr>
        <w:spacing w:after="20"/>
      </w:pPr>
      <w:r>
        <w:rPr>
          <w:sz w:val="18"/>
          <w:szCs w:val="18"/>
        </w:rPr>
        <w:t xml:space="preserve">Integration delivery patterns: inbound vs outbound, scheduled vs event-driven, idempotent updates, reconciliation checks and integration monitoring</w:t>
      </w:r>
    </w:p>
    <w:p>
      <w:pPr>
        <w:spacing w:after="40" w:before="100"/>
      </w:pPr>
      <w:r>
        <w:rPr>
          <w:b/>
          <w:bCs/>
          <w:color w:val="2E5496"/>
          <w:sz w:val="20"/>
          <w:szCs w:val="20"/>
        </w:rPr>
        <w:t xml:space="preserve">Delivery &amp; Governance</w:t>
      </w:r>
    </w:p>
    <w:p>
      <w:pPr>
        <w:pStyle w:val="ListParagraph"/>
        <w:numPr>
          <w:ilvl w:val="0"/>
          <w:numId w:val="2"/>
        </w:numPr>
        <w:spacing w:after="20"/>
      </w:pPr>
      <w:r>
        <w:rPr>
          <w:sz w:val="18"/>
          <w:szCs w:val="18"/>
        </w:rPr>
        <w:t xml:space="preserve">Technical design contribution (HLD / LLD)</w:t>
      </w:r>
    </w:p>
    <w:p>
      <w:pPr>
        <w:pStyle w:val="ListParagraph"/>
        <w:numPr>
          <w:ilvl w:val="0"/>
          <w:numId w:val="2"/>
        </w:numPr>
        <w:spacing w:after="20"/>
      </w:pPr>
      <w:r>
        <w:rPr>
          <w:sz w:val="18"/>
          <w:szCs w:val="18"/>
        </w:rPr>
        <w:t xml:space="preserve">Secure coding and platform governance</w:t>
      </w:r>
    </w:p>
    <w:p>
      <w:pPr>
        <w:pStyle w:val="ListParagraph"/>
        <w:numPr>
          <w:ilvl w:val="0"/>
          <w:numId w:val="2"/>
        </w:numPr>
        <w:spacing w:after="20"/>
      </w:pPr>
      <w:r>
        <w:rPr>
          <w:sz w:val="18"/>
          <w:szCs w:val="18"/>
        </w:rPr>
        <w:t xml:space="preserve">Agile / Scrum delivery environments</w:t>
      </w:r>
    </w:p>
    <w:p>
      <w:pPr>
        <w:pStyle w:val="ListParagraph"/>
        <w:numPr>
          <w:ilvl w:val="0"/>
          <w:numId w:val="2"/>
        </w:numPr>
        <w:spacing w:after="20"/>
      </w:pPr>
      <w:r>
        <w:rPr>
          <w:sz w:val="18"/>
          <w:szCs w:val="18"/>
        </w:rPr>
        <w:t xml:space="preserve">Stakeholder workshops and requirements elicitation</w:t>
      </w:r>
    </w:p>
    <w:p>
      <w:pPr>
        <w:pStyle w:val="ListParagraph"/>
        <w:numPr>
          <w:ilvl w:val="0"/>
          <w:numId w:val="2"/>
        </w:numPr>
        <w:spacing w:after="20"/>
      </w:pPr>
      <w:r>
        <w:rPr>
          <w:sz w:val="18"/>
          <w:szCs w:val="18"/>
        </w:rPr>
        <w:t xml:space="preserve">Documentation, BAU handover, and coaching</w:t>
      </w:r>
    </w:p>
    <w:p>
      <w:pPr>
        <w:spacing w:after="40" w:before="100"/>
      </w:pPr>
      <w:r>
        <w:rPr>
          <w:b/>
          <w:bCs/>
          <w:color w:val="2E5496"/>
          <w:sz w:val="20"/>
          <w:szCs w:val="20"/>
        </w:rPr>
        <w:t xml:space="preserve">Integration Delivery Approach</w:t>
      </w:r>
    </w:p>
    <w:p>
      <w:pPr>
        <w:spacing w:after="100"/>
      </w:pPr>
      <w:r>
        <w:rPr>
          <w:sz w:val="18"/>
          <w:szCs w:val="18"/>
        </w:rPr>
        <w:t xml:space="preserve">OOTB-first and spoke-first: IntegrationHub spokes and Flow Designer integrations are preferred, with scripted REST as a controlled fallback where spokes do not fit. Connections and credentials are managed through connection &amp; credential aliases and least-privilege credentials. Integrations are designed for idempotent updates (coalescing, state mapping, deduplication) with reconciliation checks, error handling and monitoring built in from the outset, and with security and governance considerations addressed throughout.</w:t>
      </w:r>
    </w:p>
    <w:p>
      <w:pPr>
        <w:pBdr>
          <w:bottom w:val="single" w:color="1F3864" w:sz="6" w:space="2"/>
        </w:pBdr>
        <w:spacing w:after="50" w:before="110"/>
      </w:pPr>
      <w:r>
        <w:rPr>
          <w:b/>
          <w:bCs/>
          <w:color w:val="1F3864"/>
          <w:sz w:val="22"/>
          <w:szCs w:val="22"/>
        </w:rPr>
        <w:t xml:space="preserve">Professional Experience</w:t>
      </w:r>
    </w:p>
    <w:p>
      <w:pPr>
        <w:tabs>
          <w:tab w:val="right" w:pos="9026"/>
        </w:tabs>
        <w:spacing w:after="30" w:before="90"/>
      </w:pPr>
      <w:r>
        <w:rPr>
          <w:b/>
          <w:bCs/>
          <w:sz w:val="20"/>
          <w:szCs w:val="20"/>
        </w:rPr>
        <w:t xml:space="preserve">ServiceNow Developer | BGTS</w:t>
      </w:r>
      <w:r>
        <w:rPr>
          <w:b/>
          <w:bCs/>
          <w:color w:val="444444"/>
          <w:sz w:val="19"/>
          <w:szCs w:val="19"/>
        </w:rPr>
        <w:t xml:space="preserve">	Nov 2025 - Present</w:t>
      </w:r>
    </w:p>
    <w:p>
      <w:pPr>
        <w:spacing w:after="50"/>
      </w:pPr>
      <w:r>
        <w:rPr>
          <w:sz w:val="18"/>
          <w:szCs w:val="18"/>
        </w:rPr>
        <w:t xml:space="preserve">In this role, I delivered enhancements across core ITSM processes, taking hands-on responsibility for incidents, problems, change requests and service requests in alignment with ITIL and operational requirements. I designed and implemented Flow Designer automations and integrations, spanning outbound REST Messages with OAuth 2.0 credentials, IntegrationHub spokes and scripted REST endpoints with structured error handling, to streamline service delivery, reduce manual effort and improve response times. Alongside ITSM delivery, I supported IT asset lifecycle management, ensuring assets were accurately tracked, governed and aligned with compliance and operational standards. Working within Agile delivery, I contributed to backlog refinement and sprint execution, applying ServiceNow OOTB best practices and maintaining a focus on stakeholder collaboration and customer outcomes.</w:t>
      </w:r>
    </w:p>
    <w:p>
      <w:pPr>
        <w:spacing w:after="50"/>
      </w:pPr>
      <w:r>
        <w:rPr>
          <w:sz w:val="18"/>
          <w:szCs w:val="18"/>
        </w:rPr>
        <w:t xml:space="preserve">I also contributed to HR service delivery enhancements involving employee-facing HR workflows and case-handling processes. This included supporting HRSD-related requirements and considering how employee service processes could be delivered through consistent, accessible ServiceNow workflows. I supported Workday-related HR data integration requirements concerning employee and organisational information, helping consider how data could be aligned with ServiceNow workflows and downstream service processes. My contribution focused on data consistency and integration support, rather than ownership of the Workday platform.</w:t>
      </w:r>
    </w:p>
    <w:p>
      <w:pPr>
        <w:pStyle w:val="ListParagraph"/>
        <w:numPr>
          <w:ilvl w:val="0"/>
          <w:numId w:val="2"/>
        </w:numPr>
        <w:spacing w:after="20"/>
      </w:pPr>
      <w:r>
        <w:rPr>
          <w:sz w:val="18"/>
          <w:szCs w:val="18"/>
        </w:rPr>
        <w:t xml:space="preserve">Supported ServiceNow HRSD capabilities, including HR case management, employee lifecycle workflows and employee self-service. Contributed to HR service requirements and workflow enhancements, considering how case handling and employee-facing services could align with wider enterprise service processes, including lifecycle Events activity sets where Entra ID-driven provisioning actions were supported.</w:t>
      </w:r>
    </w:p>
    <w:p>
      <w:pPr>
        <w:pStyle w:val="ListParagraph"/>
        <w:numPr>
          <w:ilvl w:val="0"/>
          <w:numId w:val="2"/>
        </w:numPr>
        <w:spacing w:after="20"/>
      </w:pPr>
      <w:r>
        <w:rPr>
          <w:sz w:val="18"/>
          <w:szCs w:val="18"/>
        </w:rPr>
        <w:t xml:space="preserve">Contributed to Workday/ServiceNow integration requirements for employee and organisational data. Supported scheduled RaaS/REST data-feed patterns into HR Profiles and sys_user, including transform and coalescing strategy and downstream lifecycle triggers, and the use of REST API or IntegrationHub patterns where applicable, with attention to data consistency and the downstream use of HR information in ServiceNow workflows.</w:t>
      </w:r>
    </w:p>
    <w:p>
      <w:pPr>
        <w:pStyle w:val="ListParagraph"/>
        <w:numPr>
          <w:ilvl w:val="0"/>
          <w:numId w:val="2"/>
        </w:numPr>
        <w:spacing w:after="20"/>
      </w:pPr>
      <w:r>
        <w:rPr>
          <w:sz w:val="18"/>
          <w:szCs w:val="18"/>
        </w:rPr>
        <w:t xml:space="preserve">Supported the configuration and validation of ServiceNow Now Assist capabilities as part of AI-enabled service delivery initiatives (specific feature set to be confirmed).</w:t>
      </w:r>
    </w:p>
    <w:p>
      <w:pPr>
        <w:pStyle w:val="ListParagraph"/>
        <w:numPr>
          <w:ilvl w:val="0"/>
          <w:numId w:val="2"/>
        </w:numPr>
        <w:spacing w:after="20"/>
      </w:pPr>
      <w:r>
        <w:rPr>
          <w:sz w:val="18"/>
          <w:szCs w:val="18"/>
        </w:rPr>
        <w:t xml:space="preserve">Contributed to AI implementation support for HRSD and employee service processes, including requirements review, testing and validation of AI-assisted case handling and employee-facing functionality.</w:t>
      </w:r>
    </w:p>
    <w:p>
      <w:pPr>
        <w:pStyle w:val="ListParagraph"/>
        <w:numPr>
          <w:ilvl w:val="0"/>
          <w:numId w:val="2"/>
        </w:numPr>
        <w:spacing w:after="20"/>
      </w:pPr>
      <w:r>
        <w:rPr>
          <w:sz w:val="18"/>
          <w:szCs w:val="18"/>
        </w:rPr>
        <w:t xml:space="preserve">Supported assessment of how Now Assist capabilities could complement HRSD workflows and Flow Designer automation, with consideration for access controls, sensitive employee data and platform governance.</w:t>
      </w:r>
    </w:p>
    <w:p>
      <w:pPr>
        <w:tabs>
          <w:tab w:val="right" w:pos="9026"/>
        </w:tabs>
        <w:spacing w:after="30" w:before="90"/>
      </w:pPr>
      <w:r>
        <w:rPr>
          <w:b/>
          <w:bCs/>
          <w:sz w:val="20"/>
          <w:szCs w:val="20"/>
        </w:rPr>
        <w:t xml:space="preserve">Senior ServiceNow Developer / Implementation Consultant - ITSM &amp; ITOM | Home Office</w:t>
      </w:r>
      <w:r>
        <w:rPr>
          <w:b/>
          <w:bCs/>
          <w:color w:val="444444"/>
          <w:sz w:val="19"/>
          <w:szCs w:val="19"/>
        </w:rPr>
        <w:t xml:space="preserve">	Mar 2025 - Nov 2025</w:t>
      </w:r>
    </w:p>
    <w:p>
      <w:pPr>
        <w:pStyle w:val="ListParagraph"/>
        <w:numPr>
          <w:ilvl w:val="0"/>
          <w:numId w:val="2"/>
        </w:numPr>
        <w:spacing w:after="20"/>
      </w:pPr>
      <w:r>
        <w:rPr>
          <w:sz w:val="18"/>
          <w:szCs w:val="18"/>
        </w:rPr>
        <w:t xml:space="preserve">Delivered ITSM and ITOM platform enhancements aligned to Home Office security, compliance, and governance standards.</w:t>
      </w:r>
    </w:p>
    <w:p>
      <w:pPr>
        <w:pStyle w:val="ListParagraph"/>
        <w:numPr>
          <w:ilvl w:val="0"/>
          <w:numId w:val="2"/>
        </w:numPr>
        <w:spacing w:after="20"/>
      </w:pPr>
      <w:r>
        <w:rPr>
          <w:sz w:val="18"/>
          <w:szCs w:val="18"/>
        </w:rPr>
        <w:t xml:space="preserve">Supported CSDM-aligned service modelling, ensuring Business Services and Application Services were accurately represented and consumable by ITSM, ITOM, and Change processes.</w:t>
      </w:r>
    </w:p>
    <w:p>
      <w:pPr>
        <w:pStyle w:val="ListParagraph"/>
        <w:numPr>
          <w:ilvl w:val="0"/>
          <w:numId w:val="2"/>
        </w:numPr>
        <w:spacing w:after="20"/>
      </w:pPr>
      <w:r>
        <w:rPr>
          <w:sz w:val="18"/>
          <w:szCs w:val="18"/>
        </w:rPr>
        <w:t xml:space="preserve">Designed and implemented automation using Flow Designer, Script Includes, Business Rules, and Integration Hub, building outbound REST integrations through connection &amp; credential aliases, spoke-based flows and scripted logic with robust error handling, reducing manual effort and improving service reliability.</w:t>
      </w:r>
    </w:p>
    <w:p>
      <w:pPr>
        <w:pStyle w:val="ListParagraph"/>
        <w:numPr>
          <w:ilvl w:val="0"/>
          <w:numId w:val="2"/>
        </w:numPr>
        <w:spacing w:after="20"/>
      </w:pPr>
      <w:r>
        <w:rPr>
          <w:sz w:val="18"/>
          <w:szCs w:val="18"/>
        </w:rPr>
        <w:t xml:space="preserve">Developed Service Portal widgets and catalogue experiences to improve self-service adoption and user experience.</w:t>
      </w:r>
    </w:p>
    <w:p>
      <w:pPr>
        <w:pStyle w:val="ListParagraph"/>
        <w:numPr>
          <w:ilvl w:val="0"/>
          <w:numId w:val="2"/>
        </w:numPr>
        <w:spacing w:after="20"/>
      </w:pPr>
      <w:r>
        <w:rPr>
          <w:sz w:val="18"/>
          <w:szCs w:val="18"/>
        </w:rPr>
        <w:t xml:space="preserve">Supported ServiceNow HRSD capabilities, including HR case management and employee lifecycle workflows, to improve HR service delivery and employee self-service.</w:t>
      </w:r>
    </w:p>
    <w:p>
      <w:pPr>
        <w:pStyle w:val="ListParagraph"/>
        <w:numPr>
          <w:ilvl w:val="0"/>
          <w:numId w:val="2"/>
        </w:numPr>
        <w:spacing w:after="20"/>
      </w:pPr>
      <w:r>
        <w:rPr>
          <w:sz w:val="18"/>
          <w:szCs w:val="18"/>
        </w:rPr>
        <w:t xml:space="preserve">Contributed to Workday integration requirements for employee and organisational data, supporting data synchronisation through scheduled RaaS/REST feed patterns with transform and coalescing strategy into HR Profiles and sys_user, downstream workflow automation, and integration patterns such as REST APIs or IntegrationHub where applicable.</w:t>
      </w:r>
    </w:p>
    <w:p>
      <w:pPr>
        <w:pStyle w:val="ListParagraph"/>
        <w:numPr>
          <w:ilvl w:val="0"/>
          <w:numId w:val="2"/>
        </w:numPr>
        <w:spacing w:after="20"/>
      </w:pPr>
      <w:r>
        <w:rPr>
          <w:sz w:val="18"/>
          <w:szCs w:val="18"/>
        </w:rPr>
        <w:t xml:space="preserve">Contributed to HRSD-related workflow and service requirements, aligning employee service processes with wider enterprise service management practices. Supported consideration of HR case and employee workflow needs, with a focus on consistent service delivery and governed employee information.</w:t>
      </w:r>
    </w:p>
    <w:p>
      <w:pPr>
        <w:pStyle w:val="ListParagraph"/>
        <w:numPr>
          <w:ilvl w:val="0"/>
          <w:numId w:val="2"/>
        </w:numPr>
        <w:spacing w:after="20"/>
      </w:pPr>
      <w:r>
        <w:rPr>
          <w:sz w:val="18"/>
          <w:szCs w:val="18"/>
        </w:rPr>
        <w:t xml:space="preserve">Supported Workday/ServiceNow data-flow considerations for employee and organisational information, focusing on data quality, controlled synchronisation and downstream workflow use. Contributed to integration-related discussions and technical investigation where required.</w:t>
      </w:r>
    </w:p>
    <w:p>
      <w:pPr>
        <w:tabs>
          <w:tab w:val="right" w:pos="9026"/>
        </w:tabs>
        <w:spacing w:after="30" w:before="90"/>
      </w:pPr>
      <w:r>
        <w:rPr>
          <w:b/>
          <w:bCs/>
          <w:sz w:val="20"/>
          <w:szCs w:val="20"/>
        </w:rPr>
        <w:t xml:space="preserve">Senior ServiceNow Developer / SAM Pro Implementation Consultant | FCDO - Foreign, Commonwealth &amp; Development Office</w:t>
      </w:r>
      <w:r>
        <w:rPr>
          <w:b/>
          <w:bCs/>
          <w:color w:val="444444"/>
          <w:sz w:val="19"/>
          <w:szCs w:val="19"/>
        </w:rPr>
        <w:t xml:space="preserve">	Sep 2024 - Mar 2025</w:t>
      </w:r>
    </w:p>
    <w:p>
      <w:pPr>
        <w:pStyle w:val="ListParagraph"/>
        <w:numPr>
          <w:ilvl w:val="0"/>
          <w:numId w:val="2"/>
        </w:numPr>
        <w:spacing w:after="20"/>
      </w:pPr>
      <w:r>
        <w:rPr>
          <w:sz w:val="18"/>
          <w:szCs w:val="18"/>
        </w:rPr>
        <w:t xml:space="preserve">Delivered a global SAM Pro implementation supporting software lifecycle management, compliance, and audit readiness across a complex international estate.</w:t>
      </w:r>
    </w:p>
    <w:p>
      <w:pPr>
        <w:pStyle w:val="ListParagraph"/>
        <w:numPr>
          <w:ilvl w:val="0"/>
          <w:numId w:val="2"/>
        </w:numPr>
        <w:spacing w:after="20"/>
      </w:pPr>
      <w:r>
        <w:rPr>
          <w:sz w:val="18"/>
          <w:szCs w:val="18"/>
        </w:rPr>
        <w:t xml:space="preserve">Built and enhanced discovery-source integrations with SCCM, JAMF and Intune using MID Server-based ingestion, Service Graph Connectors and Import Set/Transform Map pipelines, configuring Identification &amp; Reconciliation Engine (IRE) data precedence so hardware, device and software discovery data was reconciled accurately into the CMDB across a complex international estate.</w:t>
      </w:r>
    </w:p>
    <w:p>
      <w:pPr>
        <w:pStyle w:val="ListParagraph"/>
        <w:numPr>
          <w:ilvl w:val="0"/>
          <w:numId w:val="2"/>
        </w:numPr>
        <w:spacing w:after="20"/>
      </w:pPr>
      <w:r>
        <w:rPr>
          <w:sz w:val="18"/>
          <w:szCs w:val="18"/>
        </w:rPr>
        <w:t xml:space="preserve">Normalised software discovery data and connected it to SAM Pro licence reconciliation and compliance calculations, strengthening discovery coverage, entitlement reconciliation accuracy and audit readiness.</w:t>
      </w:r>
    </w:p>
    <w:p>
      <w:pPr>
        <w:pStyle w:val="ListParagraph"/>
        <w:numPr>
          <w:ilvl w:val="0"/>
          <w:numId w:val="2"/>
        </w:numPr>
        <w:spacing w:after="20"/>
      </w:pPr>
      <w:r>
        <w:rPr>
          <w:sz w:val="18"/>
          <w:szCs w:val="18"/>
        </w:rPr>
        <w:t xml:space="preserve">Automated entitlement validation, compliance checks, and reclamation workflows using Flow Designer, APIs, and scripted logic.</w:t>
      </w:r>
    </w:p>
    <w:p>
      <w:pPr>
        <w:pStyle w:val="ListParagraph"/>
        <w:numPr>
          <w:ilvl w:val="0"/>
          <w:numId w:val="2"/>
        </w:numPr>
        <w:spacing w:after="20"/>
      </w:pPr>
      <w:r>
        <w:rPr>
          <w:sz w:val="18"/>
          <w:szCs w:val="18"/>
        </w:rPr>
        <w:t xml:space="preserve">Produced dashboards and compliance reporting underpinned by trusted CMDB and service data, supporting governance and senior stakeholders.</w:t>
      </w:r>
    </w:p>
    <w:p>
      <w:pPr>
        <w:pStyle w:val="ListParagraph"/>
        <w:numPr>
          <w:ilvl w:val="0"/>
          <w:numId w:val="2"/>
        </w:numPr>
        <w:spacing w:after="20"/>
      </w:pPr>
      <w:r>
        <w:rPr>
          <w:sz w:val="18"/>
          <w:szCs w:val="18"/>
        </w:rPr>
        <w:t xml:space="preserve">Contributed to HRSD-related workflow and service requirements, aligning employee service processes with wider enterprise service management practices.</w:t>
      </w:r>
    </w:p>
    <w:p>
      <w:pPr>
        <w:pStyle w:val="ListParagraph"/>
        <w:numPr>
          <w:ilvl w:val="0"/>
          <w:numId w:val="2"/>
        </w:numPr>
        <w:spacing w:after="20"/>
      </w:pPr>
      <w:r>
        <w:rPr>
          <w:sz w:val="18"/>
          <w:szCs w:val="18"/>
        </w:rPr>
        <w:t xml:space="preserve">Supported Workday/ServiceNow data-flow considerations for employee and organisational information, with a focus on data quality, controlled synchronisation and downstream workflow use.</w:t>
      </w:r>
    </w:p>
    <w:p>
      <w:pPr>
        <w:pStyle w:val="ListParagraph"/>
        <w:numPr>
          <w:ilvl w:val="0"/>
          <w:numId w:val="2"/>
        </w:numPr>
        <w:spacing w:after="20"/>
      </w:pPr>
      <w:r>
        <w:rPr>
          <w:sz w:val="18"/>
          <w:szCs w:val="18"/>
        </w:rPr>
        <w:t xml:space="preserve">Supported defect triage, technical investigation, and deployment readiness during test and release phases.</w:t>
      </w:r>
    </w:p>
    <w:p>
      <w:pPr>
        <w:tabs>
          <w:tab w:val="right" w:pos="9026"/>
        </w:tabs>
        <w:spacing w:after="30" w:before="90"/>
      </w:pPr>
      <w:r>
        <w:rPr>
          <w:b/>
          <w:bCs/>
          <w:sz w:val="20"/>
          <w:szCs w:val="20"/>
        </w:rPr>
        <w:t xml:space="preserve">Senior ServiceNow Developer / Implementation Consultant | Ministry of Justice</w:t>
      </w:r>
      <w:r>
        <w:rPr>
          <w:b/>
          <w:bCs/>
          <w:color w:val="444444"/>
          <w:sz w:val="19"/>
          <w:szCs w:val="19"/>
        </w:rPr>
        <w:t xml:space="preserve">	Sep 2022 - Sep 2024</w:t>
      </w:r>
    </w:p>
    <w:p>
      <w:pPr>
        <w:pStyle w:val="ListParagraph"/>
        <w:numPr>
          <w:ilvl w:val="0"/>
          <w:numId w:val="2"/>
        </w:numPr>
        <w:spacing w:after="20"/>
      </w:pPr>
      <w:r>
        <w:rPr>
          <w:sz w:val="18"/>
          <w:szCs w:val="18"/>
        </w:rPr>
        <w:t xml:space="preserve">Designed and implemented a CSDM-aligned CMDB architecture, defining Business Services, Application Services, Technical Services, and supporting infrastructure CIs.</w:t>
      </w:r>
    </w:p>
    <w:p>
      <w:pPr>
        <w:pStyle w:val="ListParagraph"/>
        <w:numPr>
          <w:ilvl w:val="0"/>
          <w:numId w:val="2"/>
        </w:numPr>
        <w:spacing w:after="20"/>
      </w:pPr>
      <w:r>
        <w:rPr>
          <w:sz w:val="18"/>
          <w:szCs w:val="18"/>
        </w:rPr>
        <w:t xml:space="preserve">Established CMDB governance frameworks including ownership models, lifecycle rules, certification processes, and health KPIs aligned to CSDM outcomes.</w:t>
      </w:r>
    </w:p>
    <w:p>
      <w:pPr>
        <w:pStyle w:val="ListParagraph"/>
        <w:numPr>
          <w:ilvl w:val="0"/>
          <w:numId w:val="2"/>
        </w:numPr>
        <w:spacing w:after="20"/>
      </w:pPr>
      <w:r>
        <w:rPr>
          <w:sz w:val="18"/>
          <w:szCs w:val="18"/>
        </w:rPr>
        <w:t xml:space="preserve">Aligned Discovery, Service Mapping, and manual CI onboarding to CSDM standards, configuring IRE identification and data precedence so multi-source discovery data reconciled cleanly, significantly improving service visibility and impact analysis accuracy.</w:t>
      </w:r>
    </w:p>
    <w:p>
      <w:pPr>
        <w:pStyle w:val="ListParagraph"/>
        <w:numPr>
          <w:ilvl w:val="0"/>
          <w:numId w:val="2"/>
        </w:numPr>
        <w:spacing w:after="20"/>
      </w:pPr>
      <w:r>
        <w:rPr>
          <w:sz w:val="18"/>
          <w:szCs w:val="18"/>
        </w:rPr>
        <w:t xml:space="preserve">Delivered SAM Pro and ITAM solutions aligned to MoJ governance, ITIL best practices, and audit requirements.</w:t>
      </w:r>
    </w:p>
    <w:p>
      <w:pPr>
        <w:pStyle w:val="ListParagraph"/>
        <w:numPr>
          <w:ilvl w:val="0"/>
          <w:numId w:val="2"/>
        </w:numPr>
        <w:spacing w:after="20"/>
      </w:pPr>
      <w:r>
        <w:rPr>
          <w:sz w:val="18"/>
          <w:szCs w:val="18"/>
        </w:rPr>
        <w:t xml:space="preserve">Designed automated licensing and asset lifecycle workflows using Flow Designer, scripted automation and outbound REST integrations with robust error handling, reducing compliance risk and manual effort.</w:t>
      </w:r>
    </w:p>
    <w:p>
      <w:pPr>
        <w:pStyle w:val="ListParagraph"/>
        <w:numPr>
          <w:ilvl w:val="0"/>
          <w:numId w:val="2"/>
        </w:numPr>
        <w:spacing w:after="20"/>
      </w:pPr>
      <w:r>
        <w:rPr>
          <w:sz w:val="18"/>
          <w:szCs w:val="18"/>
        </w:rPr>
        <w:t xml:space="preserve">Produced High-Level Designs (HLDs) ensuring architecture aligned with CSDM, ITSM, ITOM, and SAM Pro consumption requirements.</w:t>
      </w:r>
    </w:p>
    <w:p>
      <w:pPr>
        <w:pStyle w:val="ListParagraph"/>
        <w:numPr>
          <w:ilvl w:val="0"/>
          <w:numId w:val="2"/>
        </w:numPr>
        <w:spacing w:after="20"/>
      </w:pPr>
      <w:r>
        <w:rPr>
          <w:sz w:val="18"/>
          <w:szCs w:val="18"/>
        </w:rPr>
        <w:t xml:space="preserve">Supported platform health checks, performance optimisation, and major incident and problem investigations.</w:t>
      </w:r>
    </w:p>
    <w:p>
      <w:pPr>
        <w:pStyle w:val="ListParagraph"/>
        <w:numPr>
          <w:ilvl w:val="0"/>
          <w:numId w:val="2"/>
        </w:numPr>
        <w:spacing w:after="20"/>
      </w:pPr>
      <w:r>
        <w:rPr>
          <w:sz w:val="18"/>
          <w:szCs w:val="18"/>
        </w:rPr>
        <w:t xml:space="preserve">Mentored junior developers and analysts, promoting consistent delivery standards and ServiceNow best practices.</w:t>
      </w:r>
    </w:p>
    <w:p>
      <w:pPr>
        <w:pStyle w:val="ListParagraph"/>
        <w:numPr>
          <w:ilvl w:val="0"/>
          <w:numId w:val="2"/>
        </w:numPr>
        <w:spacing w:after="20"/>
      </w:pPr>
      <w:r>
        <w:rPr>
          <w:sz w:val="18"/>
          <w:szCs w:val="18"/>
        </w:rPr>
        <w:t xml:space="preserve">Contributed to HRSD-related service and workflow requirements, supporting alignment between employee service needs and wider ServiceNow processes. Relevant activities included considering HR case handling, employee-facing services and lifecycle-related workflows, with an emphasis on consistent service delivery and governed employee information.</w:t>
      </w:r>
    </w:p>
    <w:p>
      <w:pPr>
        <w:pStyle w:val="ListParagraph"/>
        <w:numPr>
          <w:ilvl w:val="0"/>
          <w:numId w:val="2"/>
        </w:numPr>
        <w:spacing w:after="20"/>
      </w:pPr>
      <w:r>
        <w:rPr>
          <w:sz w:val="18"/>
          <w:szCs w:val="18"/>
        </w:rPr>
        <w:t xml:space="preserve">Supported Workday/ServiceNow HR data-flow considerations, including scheduled employee and organisational data feeds used by downstream ServiceNow processes. Contributed to discussions around data quality, transform and coalescing mapping, controlled synchronisation and integration dependencies, while applying enterprise governance and technical design practices.</w:t>
      </w:r>
    </w:p>
    <w:p>
      <w:pPr>
        <w:tabs>
          <w:tab w:val="right" w:pos="9026"/>
        </w:tabs>
        <w:spacing w:after="30" w:before="90"/>
      </w:pPr>
      <w:r>
        <w:rPr>
          <w:b/>
          <w:bCs/>
          <w:sz w:val="20"/>
          <w:szCs w:val="20"/>
        </w:rPr>
        <w:t xml:space="preserve">ServiceNow SAM Pro Implementation Consultant | Deutsche Bank</w:t>
      </w:r>
      <w:r>
        <w:rPr>
          <w:b/>
          <w:bCs/>
          <w:color w:val="444444"/>
          <w:sz w:val="19"/>
          <w:szCs w:val="19"/>
        </w:rPr>
        <w:t xml:space="preserve">	Mar 2021 - Jan 2022</w:t>
      </w:r>
    </w:p>
    <w:p>
      <w:pPr>
        <w:pStyle w:val="ListParagraph"/>
        <w:numPr>
          <w:ilvl w:val="0"/>
          <w:numId w:val="2"/>
        </w:numPr>
        <w:spacing w:after="20"/>
      </w:pPr>
      <w:r>
        <w:rPr>
          <w:sz w:val="18"/>
          <w:szCs w:val="18"/>
        </w:rPr>
        <w:t xml:space="preserve">Configured and deployed SAM Pro to support enterprise-scale license optimisation, audit readiness, and compliance reporting.</w:t>
      </w:r>
    </w:p>
    <w:p>
      <w:pPr>
        <w:pStyle w:val="ListParagraph"/>
        <w:numPr>
          <w:ilvl w:val="0"/>
          <w:numId w:val="2"/>
        </w:numPr>
        <w:spacing w:after="20"/>
      </w:pPr>
      <w:r>
        <w:rPr>
          <w:sz w:val="18"/>
          <w:szCs w:val="18"/>
        </w:rPr>
        <w:t xml:space="preserve">Leveraged CSDM-aligned application and service models to improve software consumption accuracy and reporting confidence.</w:t>
      </w:r>
    </w:p>
    <w:p>
      <w:pPr>
        <w:pStyle w:val="ListParagraph"/>
        <w:numPr>
          <w:ilvl w:val="0"/>
          <w:numId w:val="2"/>
        </w:numPr>
        <w:spacing w:after="20"/>
      </w:pPr>
      <w:r>
        <w:rPr>
          <w:sz w:val="18"/>
          <w:szCs w:val="18"/>
        </w:rPr>
        <w:t xml:space="preserve">Built Service Portal dashboards and automated reconciliation workflows, reducing manual processing and errors.</w:t>
      </w:r>
    </w:p>
    <w:p>
      <w:pPr>
        <w:pStyle w:val="ListParagraph"/>
        <w:numPr>
          <w:ilvl w:val="0"/>
          <w:numId w:val="2"/>
        </w:numPr>
        <w:spacing w:after="20"/>
      </w:pPr>
      <w:r>
        <w:rPr>
          <w:sz w:val="18"/>
          <w:szCs w:val="18"/>
        </w:rPr>
        <w:t xml:space="preserve">Implemented MID Servers, import sets, transform maps, and REST/SOAP integrations to support data ingestion, building repeatable ingestion pipelines from discovery and inventory sources into CMDB and SAM Pro with defined coalescing, data precedence and error handling to protect record integrity.</w:t>
      </w:r>
    </w:p>
    <w:p>
      <w:pPr>
        <w:pStyle w:val="ListParagraph"/>
        <w:numPr>
          <w:ilvl w:val="0"/>
          <w:numId w:val="2"/>
        </w:numPr>
        <w:spacing w:after="20"/>
      </w:pPr>
      <w:r>
        <w:rPr>
          <w:sz w:val="18"/>
          <w:szCs w:val="18"/>
        </w:rPr>
        <w:t xml:space="preserve">Managed UAT cycles, update sets, and hypercare support post-go-live.</w:t>
      </w:r>
    </w:p>
    <w:p>
      <w:pPr>
        <w:pStyle w:val="ListParagraph"/>
        <w:numPr>
          <w:ilvl w:val="0"/>
          <w:numId w:val="2"/>
        </w:numPr>
        <w:spacing w:after="20"/>
      </w:pPr>
      <w:r>
        <w:rPr>
          <w:sz w:val="18"/>
          <w:szCs w:val="18"/>
        </w:rPr>
        <w:t xml:space="preserve">Delivered training sessions and detailed BAU handover documentation to operational teams.</w:t>
      </w:r>
    </w:p>
    <w:p>
      <w:pPr>
        <w:tabs>
          <w:tab w:val="right" w:pos="9026"/>
        </w:tabs>
        <w:spacing w:after="30" w:before="90"/>
      </w:pPr>
      <w:r>
        <w:rPr>
          <w:b/>
          <w:bCs/>
          <w:sz w:val="20"/>
          <w:szCs w:val="20"/>
        </w:rPr>
        <w:t xml:space="preserve">ServiceNow Developer / Software Licensing Manager | BP</w:t>
      </w:r>
      <w:r>
        <w:rPr>
          <w:b/>
          <w:bCs/>
          <w:color w:val="444444"/>
          <w:sz w:val="19"/>
          <w:szCs w:val="19"/>
        </w:rPr>
        <w:t xml:space="preserve">	Oct 2020 - Feb 2021</w:t>
      </w:r>
    </w:p>
    <w:p>
      <w:pPr>
        <w:pStyle w:val="ListParagraph"/>
        <w:numPr>
          <w:ilvl w:val="0"/>
          <w:numId w:val="2"/>
        </w:numPr>
        <w:spacing w:after="20"/>
      </w:pPr>
      <w:r>
        <w:rPr>
          <w:sz w:val="18"/>
          <w:szCs w:val="18"/>
        </w:rPr>
        <w:t xml:space="preserve">Delivered a comprehensive IT asset inventory and licensing governance model across software and hardware estates.</w:t>
      </w:r>
    </w:p>
    <w:p>
      <w:pPr>
        <w:pStyle w:val="ListParagraph"/>
        <w:numPr>
          <w:ilvl w:val="0"/>
          <w:numId w:val="2"/>
        </w:numPr>
        <w:spacing w:after="20"/>
      </w:pPr>
      <w:r>
        <w:rPr>
          <w:sz w:val="18"/>
          <w:szCs w:val="18"/>
        </w:rPr>
        <w:t xml:space="preserve">Designed lifecycle workflows aligned to CSDM and ITAM principles, ensuring traceability from service to asset and entitlement.</w:t>
      </w:r>
    </w:p>
    <w:p>
      <w:pPr>
        <w:pStyle w:val="ListParagraph"/>
        <w:numPr>
          <w:ilvl w:val="0"/>
          <w:numId w:val="2"/>
        </w:numPr>
        <w:spacing w:after="20"/>
      </w:pPr>
      <w:r>
        <w:rPr>
          <w:sz w:val="18"/>
          <w:szCs w:val="18"/>
        </w:rPr>
        <w:t xml:space="preserve">Worked closely with vendors and procurement teams to optimise license usage, commercial terms, and contract value.</w:t>
      </w:r>
    </w:p>
    <w:p>
      <w:pPr>
        <w:pStyle w:val="ListParagraph"/>
        <w:numPr>
          <w:ilvl w:val="0"/>
          <w:numId w:val="2"/>
        </w:numPr>
        <w:spacing w:after="20"/>
      </w:pPr>
      <w:r>
        <w:rPr>
          <w:sz w:val="18"/>
          <w:szCs w:val="18"/>
        </w:rPr>
        <w:t xml:space="preserve">Performed full platform validation to ensure audit readiness, performance stability, and data accuracy.</w:t>
      </w:r>
    </w:p>
    <w:p>
      <w:pPr>
        <w:pStyle w:val="ListParagraph"/>
        <w:numPr>
          <w:ilvl w:val="0"/>
          <w:numId w:val="2"/>
        </w:numPr>
        <w:spacing w:after="20"/>
      </w:pPr>
      <w:r>
        <w:rPr>
          <w:sz w:val="18"/>
          <w:szCs w:val="18"/>
        </w:rPr>
        <w:t xml:space="preserve">Extended ITOM Discovery outputs to support ITAM and SAM Pro processes.</w:t>
      </w:r>
    </w:p>
    <w:p>
      <w:pPr>
        <w:pStyle w:val="ListParagraph"/>
        <w:numPr>
          <w:ilvl w:val="0"/>
          <w:numId w:val="2"/>
        </w:numPr>
        <w:spacing w:after="20"/>
      </w:pPr>
      <w:r>
        <w:rPr>
          <w:sz w:val="18"/>
          <w:szCs w:val="18"/>
        </w:rPr>
        <w:t xml:space="preserve">Directed SAM Pro implementation and ITAM governance for laptops, servers, and mobile assets.</w:t>
      </w:r>
    </w:p>
    <w:p>
      <w:pPr>
        <w:tabs>
          <w:tab w:val="right" w:pos="9026"/>
        </w:tabs>
        <w:spacing w:after="30" w:before="90"/>
      </w:pPr>
      <w:r>
        <w:rPr>
          <w:b/>
          <w:bCs/>
          <w:sz w:val="20"/>
          <w:szCs w:val="20"/>
        </w:rPr>
        <w:t xml:space="preserve">Earlier Roles - SAM &amp; IT Asset Management</w:t>
      </w:r>
      <w:r>
        <w:rPr>
          <w:b/>
          <w:bCs/>
          <w:color w:val="444444"/>
          <w:sz w:val="19"/>
          <w:szCs w:val="19"/>
        </w:rPr>
        <w:t xml:space="preserve">	</w:t>
      </w:r>
    </w:p>
    <w:p>
      <w:pPr>
        <w:spacing w:after="80"/>
      </w:pPr>
      <w:r>
        <w:rPr>
          <w:sz w:val="18"/>
          <w:szCs w:val="18"/>
        </w:rPr>
        <w:t xml:space="preserve">Software Licensing Manager | Volkswagen Financial Services: Led enterprise software licensing governance across a complex financial services estate. Analysed contracts, entitlements, and deployment data to identify optimisation and compliance risks. Implemented structured license reconciliation processes aligned to ITAM and service reporting requirements. Supported audits and vendor negotiations, reducing financial exposure and compliance risk.</w:t>
      </w:r>
    </w:p>
    <w:p>
      <w:pPr>
        <w:spacing w:after="80"/>
      </w:pPr>
      <w:r>
        <w:rPr>
          <w:sz w:val="18"/>
          <w:szCs w:val="18"/>
        </w:rPr>
        <w:t xml:space="preserve">Software Licensing Analyst | Capita: Supported multi-client licensing environments across public and private sector engagements. Performed entitlement analysis, usage tracking, and reconciliation across multiple software vendors. Contributed to tooling rollouts including ServiceNow and Flexera, supporting early CMDB and asset data models. Produced compliance and optimisation reports for internal and client stakeholders.</w:t>
      </w:r>
    </w:p>
    <w:p>
      <w:pPr>
        <w:spacing w:after="80"/>
      </w:pPr>
      <w:r>
        <w:rPr>
          <w:sz w:val="18"/>
          <w:szCs w:val="18"/>
        </w:rPr>
        <w:t xml:space="preserve">Onsite IT Asset Manager | RAC: Managed end-to-end hardware and software asset lifecycles across corporate and field environments. Maintained accurate asset records, ensuring alignment between physical assets, services, and support contracts. Supported incident and change processes by providing reliable asset and CI data.</w:t>
      </w:r>
    </w:p>
    <w:p>
      <w:pPr>
        <w:spacing w:after="80"/>
      </w:pPr>
      <w:r>
        <w:rPr>
          <w:sz w:val="18"/>
          <w:szCs w:val="18"/>
        </w:rPr>
        <w:t xml:space="preserve">Interim Software Asset Manager | Atkins: Delivered interim SAM capability across a large engineering and infrastructure organisation. Reviewed licensing positions, contracts, and deployment data to identify compliance and optimisation opportunities. Implemented governance processes aligned to ITIL, ITAM, and service reporting needs.</w:t>
      </w:r>
    </w:p>
    <w:p>
      <w:pPr>
        <w:spacing w:after="80"/>
      </w:pPr>
      <w:r>
        <w:rPr>
          <w:sz w:val="18"/>
          <w:szCs w:val="18"/>
        </w:rPr>
        <w:t xml:space="preserve">Business Analyst | Skills Funding Agency: Elicited and documented business requirements for service management and asset-related initiatives. Produced process maps, use cases, and data definitions supporting service and asset transparency. Acted as a bridge between technical teams and business stakeholders, supporting early service modelling concepts.</w:t>
      </w:r>
    </w:p>
    <w:p>
      <w:pPr>
        <w:pBdr>
          <w:bottom w:val="single" w:color="1F3864" w:sz="6" w:space="2"/>
        </w:pBdr>
        <w:spacing w:after="50" w:before="110"/>
      </w:pPr>
      <w:r>
        <w:rPr>
          <w:b/>
          <w:bCs/>
          <w:color w:val="1F3864"/>
          <w:sz w:val="22"/>
          <w:szCs w:val="22"/>
        </w:rPr>
        <w:t xml:space="preserve">Professional Knowledge</w:t>
      </w:r>
    </w:p>
    <w:p>
      <w:pPr>
        <w:pStyle w:val="ListParagraph"/>
        <w:numPr>
          <w:ilvl w:val="0"/>
          <w:numId w:val="2"/>
        </w:numPr>
        <w:spacing w:after="20"/>
      </w:pPr>
      <w:r>
        <w:rPr>
          <w:sz w:val="18"/>
          <w:szCs w:val="18"/>
        </w:rPr>
        <w:t xml:space="preserve">ServiceNow Certified Implementation Specialist - ITSM</w:t>
      </w:r>
    </w:p>
    <w:p>
      <w:pPr>
        <w:pStyle w:val="ListParagraph"/>
        <w:numPr>
          <w:ilvl w:val="0"/>
          <w:numId w:val="2"/>
        </w:numPr>
        <w:spacing w:after="20"/>
      </w:pPr>
      <w:r>
        <w:rPr>
          <w:sz w:val="18"/>
          <w:szCs w:val="18"/>
        </w:rPr>
        <w:t xml:space="preserve">ITIL-Aligned Service Delivery</w:t>
      </w:r>
    </w:p>
    <w:p>
      <w:pPr>
        <w:pStyle w:val="ListParagraph"/>
        <w:numPr>
          <w:ilvl w:val="0"/>
          <w:numId w:val="2"/>
        </w:numPr>
        <w:spacing w:after="20"/>
      </w:pPr>
      <w:r>
        <w:rPr>
          <w:sz w:val="18"/>
          <w:szCs w:val="18"/>
        </w:rPr>
        <w:t xml:space="preserve">Planned: ServiceNow certification exams - November 2026 (specific certifications to be confirmed)</w:t>
      </w:r>
    </w:p>
    <w:p>
      <w:pPr>
        <w:pBdr>
          <w:bottom w:val="single" w:color="1F3864" w:sz="6" w:space="2"/>
        </w:pBdr>
        <w:spacing w:after="50" w:before="110"/>
      </w:pPr>
      <w:r>
        <w:rPr>
          <w:b/>
          <w:bCs/>
          <w:color w:val="1F3864"/>
          <w:sz w:val="22"/>
          <w:szCs w:val="22"/>
        </w:rPr>
        <w:t xml:space="preserve">Personal Attributes</w:t>
      </w:r>
    </w:p>
    <w:p>
      <w:pPr>
        <w:spacing w:after="50"/>
      </w:pPr>
      <w:r>
        <w:rPr>
          <w:sz w:val="18"/>
          <w:szCs w:val="18"/>
        </w:rPr>
        <w:t xml:space="preserve">Analytical  |  Governance-driven  |  Stakeholder-focused  |  Quality-led  |  Collaborative senior contributor</w:t>
      </w:r>
    </w:p>
    <w:p>
      <w:pPr>
        <w:spacing w:after="0"/>
      </w:pPr>
      <w:r>
        <w:rPr>
          <w:sz w:val="18"/>
          <w:szCs w:val="18"/>
        </w:rPr>
        <w:t xml:space="preserve">Interests: Chess | Reading | Travel</w:t>
      </w:r>
    </w:p>
    <w:sectPr>
      <w:pgSz w:w="11906" w:h="16838" w:orient="portrait"/>
      <w:pgMar w:top="640" w:right="850" w:bottom="64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0" w:hanging="25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18"/>
        <w:szCs w:val="18"/>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2026-10-17T13:02:47.315Z</dcterms:created>
  <dcterms:modified xsi:type="dcterms:W3CDTF">2026-10-17T13:02:47.315Z</dcterms:modified>
</cp:coreProperties>
</file>

<file path=docProps/custom.xml><?xml version="1.0" encoding="utf-8"?>
<Properties xmlns="http://schemas.openxmlformats.org/officeDocument/2006/custom-properties" xmlns:vt="http://schemas.openxmlformats.org/officeDocument/2006/docPropsVTypes"/>
</file>